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1CEFC" w14:textId="66FF2EFE" w:rsidR="00F54FE2" w:rsidRPr="00573B60" w:rsidRDefault="00F54FE2" w:rsidP="00F54FE2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bookmarkStart w:id="0" w:name="_Hlk98837831"/>
      <w:r w:rsidRPr="00573B6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Załącznik B.</w:t>
      </w:r>
      <w:r w:rsidR="00494935" w:rsidRPr="00573B6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154</w:t>
      </w:r>
      <w:r w:rsidRPr="00573B6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  <w:r w:rsidR="00494935" w:rsidRPr="00573B6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FM.</w:t>
      </w:r>
    </w:p>
    <w:p w14:paraId="121E9807" w14:textId="77777777" w:rsidR="00F54FE2" w:rsidRPr="00573B60" w:rsidRDefault="00F54FE2" w:rsidP="00F54FE2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77A67CB" w14:textId="77777777" w:rsidR="00F54FE2" w:rsidRPr="00573B60" w:rsidRDefault="00F54FE2" w:rsidP="00494935">
      <w:pPr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</w:pPr>
      <w:r w:rsidRPr="00573B6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>LECZENIE PACJENTÓW Z ZESPOŁEM LENNOXA-GASTAUTA LUB Z ZESPOŁEM DRAVET (ICD-10: G40.4)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8" w:type="dxa"/>
          <w:right w:w="68" w:type="dxa"/>
        </w:tblCellMar>
        <w:tblLook w:val="00A0" w:firstRow="1" w:lastRow="0" w:firstColumn="1" w:lastColumn="0" w:noHBand="0" w:noVBand="0"/>
      </w:tblPr>
      <w:tblGrid>
        <w:gridCol w:w="5665"/>
        <w:gridCol w:w="4111"/>
        <w:gridCol w:w="5612"/>
      </w:tblGrid>
      <w:tr w:rsidR="00F54FE2" w:rsidRPr="00573B60" w14:paraId="4E1C66B2" w14:textId="77777777" w:rsidTr="00C224E9">
        <w:trPr>
          <w:trHeight w:val="567"/>
          <w:jc w:val="center"/>
        </w:trPr>
        <w:tc>
          <w:tcPr>
            <w:tcW w:w="15388" w:type="dxa"/>
            <w:gridSpan w:val="3"/>
            <w:vAlign w:val="center"/>
          </w:tcPr>
          <w:p w14:paraId="0DECBD07" w14:textId="77777777" w:rsidR="00F54FE2" w:rsidRPr="00573B60" w:rsidRDefault="00F54FE2" w:rsidP="00F5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ZAKRES ŚWIADCZENIA GWARANTOWANEGO</w:t>
            </w:r>
          </w:p>
        </w:tc>
      </w:tr>
      <w:tr w:rsidR="00F54FE2" w:rsidRPr="00573B60" w14:paraId="216CFA58" w14:textId="77777777" w:rsidTr="00C224E9">
        <w:trPr>
          <w:trHeight w:val="567"/>
          <w:jc w:val="center"/>
        </w:trPr>
        <w:tc>
          <w:tcPr>
            <w:tcW w:w="5665" w:type="dxa"/>
            <w:vAlign w:val="center"/>
          </w:tcPr>
          <w:p w14:paraId="329C9A80" w14:textId="77777777" w:rsidR="00F54FE2" w:rsidRPr="00573B60" w:rsidRDefault="00F54FE2" w:rsidP="00F5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ŚWIADCZENIOBIORCY</w:t>
            </w:r>
          </w:p>
        </w:tc>
        <w:tc>
          <w:tcPr>
            <w:tcW w:w="4111" w:type="dxa"/>
            <w:vAlign w:val="center"/>
          </w:tcPr>
          <w:p w14:paraId="3CDFE031" w14:textId="77777777" w:rsidR="00F54FE2" w:rsidRPr="00573B60" w:rsidRDefault="00F54FE2" w:rsidP="00F5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SCHEMAT DAWKOWANIA LEKÓW </w:t>
            </w:r>
            <w:r w:rsidRPr="00573B60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W PROGRAMIE</w:t>
            </w:r>
          </w:p>
        </w:tc>
        <w:tc>
          <w:tcPr>
            <w:tcW w:w="5612" w:type="dxa"/>
            <w:vAlign w:val="center"/>
          </w:tcPr>
          <w:p w14:paraId="73A87A69" w14:textId="77777777" w:rsidR="00F54FE2" w:rsidRPr="00573B60" w:rsidRDefault="00F54FE2" w:rsidP="00F5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BADANIA DIAGNOSTYCZNE WYKONYWANE </w:t>
            </w:r>
            <w:r w:rsidRPr="00573B60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  <w:t>W RAMACH PROGRAMU</w:t>
            </w:r>
          </w:p>
        </w:tc>
      </w:tr>
      <w:tr w:rsidR="00F54FE2" w:rsidRPr="00573B60" w14:paraId="56285D74" w14:textId="77777777" w:rsidTr="00C224E9">
        <w:trPr>
          <w:trHeight w:val="20"/>
          <w:jc w:val="center"/>
        </w:trPr>
        <w:tc>
          <w:tcPr>
            <w:tcW w:w="5665" w:type="dxa"/>
          </w:tcPr>
          <w:p w14:paraId="6A96F966" w14:textId="77777777" w:rsidR="00573B60" w:rsidRPr="00573B60" w:rsidRDefault="00573B60" w:rsidP="00573B60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3B60">
              <w:rPr>
                <w:rFonts w:ascii="Times New Roman" w:hAnsi="Times New Roman" w:cs="Times New Roman"/>
                <w:sz w:val="20"/>
                <w:szCs w:val="20"/>
              </w:rPr>
              <w:t>W programie finansuje się leczenie następującymi substancjami:</w:t>
            </w:r>
          </w:p>
          <w:p w14:paraId="3CEAACCD" w14:textId="7613C594" w:rsidR="00573B60" w:rsidRPr="00573B60" w:rsidRDefault="00573B60" w:rsidP="00573B60">
            <w:pPr>
              <w:pStyle w:val="Akapitzlist"/>
              <w:numPr>
                <w:ilvl w:val="3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73B6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kan</w:t>
            </w:r>
            <w:r w:rsidR="007C70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</w:t>
            </w:r>
            <w:r w:rsidRPr="00573B6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abidiol</w:t>
            </w:r>
            <w:proofErr w:type="spellEnd"/>
            <w:r w:rsidRPr="00573B6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1F3F9C9" w14:textId="77777777" w:rsidR="00573B60" w:rsidRPr="00573B60" w:rsidRDefault="00573B60" w:rsidP="00573B6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3B6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zgodnie ze wskazanymi w opisie programu warunkami i kryteriami</w:t>
            </w:r>
            <w:r w:rsidRPr="00573B6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D9DD23B" w14:textId="77777777" w:rsidR="00573B60" w:rsidRPr="00573B60" w:rsidRDefault="00573B60" w:rsidP="00573B6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CCCC088" w14:textId="00D31A1F" w:rsidR="00F54FE2" w:rsidRPr="00573B60" w:rsidRDefault="00F54FE2" w:rsidP="00573B60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Kryteria kwalifikacji </w:t>
            </w:r>
          </w:p>
          <w:p w14:paraId="060314F3" w14:textId="53824126" w:rsidR="00F54FE2" w:rsidRPr="00573B60" w:rsidRDefault="00F54FE2" w:rsidP="00573B60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wiek 2 lata i powyżej; </w:t>
            </w:r>
          </w:p>
          <w:p w14:paraId="3F47655A" w14:textId="30574DAC" w:rsidR="00F54FE2" w:rsidRPr="00573B60" w:rsidRDefault="00F54FE2" w:rsidP="00573B60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rozpoznanie kliniczne zespołu Lennoxa-Gastauta lub zespołu Dravet, w którym napady padaczkowe nie są w pełni kontrolowane przez </w:t>
            </w:r>
            <w:r w:rsidR="006C0E6D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aktualnie stosowane 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leki przeciwpadaczkowe; </w:t>
            </w:r>
          </w:p>
          <w:p w14:paraId="67CA9174" w14:textId="5351C741" w:rsidR="009266BF" w:rsidRPr="00573B60" w:rsidRDefault="009266BF" w:rsidP="00573B60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brak kontroli napadów pomimo zastosowania co najmniej trzech leków przeciwpadaczkowych, w dotychczasowej terapii</w:t>
            </w:r>
            <w:r w:rsidR="00F106A7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(w odpowiedniej dawce przez odpowiedni czas);</w:t>
            </w:r>
          </w:p>
          <w:p w14:paraId="3107F494" w14:textId="0A399FA2" w:rsidR="00F54FE2" w:rsidRPr="00573B60" w:rsidRDefault="00F54FE2" w:rsidP="00573B60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obecna terapia przeciwpadaczkowa prowadzona z użyciem </w:t>
            </w:r>
            <w:r w:rsidR="006C0E6D" w:rsidRPr="00573B6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klobazamu</w:t>
            </w:r>
            <w:r w:rsidR="006C0E6D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lub równoczesne rozpoczęcie terapii </w:t>
            </w:r>
            <w:r w:rsidRPr="00573B6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klobazamem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w momencie włączenia do programu</w:t>
            </w:r>
            <w:r w:rsidR="00226F85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193EA52A" w14:textId="4F9A3232" w:rsidR="00F54FE2" w:rsidRPr="00573B60" w:rsidRDefault="00F54FE2" w:rsidP="00573B60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prowadzenie dzienniczka napadów padaczkowych </w:t>
            </w:r>
            <w:r w:rsidR="006C0E6D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 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okres</w:t>
            </w:r>
            <w:r w:rsidR="006C0E6D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ie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co najmniej 6 miesięcy przed włączeniem do programu lekowego</w:t>
            </w:r>
            <w:r w:rsidR="00226F85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1352F61B" w14:textId="498BBD85" w:rsidR="00F54FE2" w:rsidRPr="00573B60" w:rsidRDefault="00F54FE2" w:rsidP="00573B60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adekwatna wydolność narządowa określona na podstawie wyników badań laboratoryjnych krwi zgodnie z zapisami aktualnej Charakterystyki Produktu Leczniczego (zwanej dalej ChPL);</w:t>
            </w:r>
          </w:p>
          <w:p w14:paraId="70B825F9" w14:textId="0BFCE9D3" w:rsidR="00F54FE2" w:rsidRPr="00573B60" w:rsidRDefault="00F54FE2" w:rsidP="00573B60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nieobecność istotnych schorzeń współistniejących stanowiących przeciwskazanie do terapii stwierdzonych przez lekarza prowadzącego w oparciu o aktualną ChPL;</w:t>
            </w:r>
          </w:p>
          <w:p w14:paraId="6395BC30" w14:textId="6F8FAC88" w:rsidR="00F54FE2" w:rsidRPr="00573B60" w:rsidRDefault="00F54FE2" w:rsidP="00573B60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brak przeciwwskazań do stosowania </w:t>
            </w:r>
            <w:proofErr w:type="spellStart"/>
            <w:r w:rsidRPr="00573B6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</w:t>
            </w:r>
            <w:r w:rsidR="007C70A3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</w:t>
            </w:r>
            <w:r w:rsidRPr="00573B6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nabidiolu</w:t>
            </w:r>
            <w:proofErr w:type="spellEnd"/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oraz </w:t>
            </w:r>
            <w:proofErr w:type="spellStart"/>
            <w:r w:rsidRPr="00573B6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klobazamu</w:t>
            </w:r>
            <w:proofErr w:type="spellEnd"/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zgodnie z aktualną ChPL</w:t>
            </w:r>
            <w:r w:rsidR="00226F85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02616BA9" w14:textId="0689E32C" w:rsidR="00F54FE2" w:rsidRPr="00573B60" w:rsidRDefault="00F54FE2" w:rsidP="00573B60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wykluczenie okresu ciąży lub karmienia piersią</w:t>
            </w:r>
            <w:r w:rsidR="00226F85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3D7B00E2" w14:textId="77777777" w:rsidR="00F54FE2" w:rsidRPr="00573B60" w:rsidRDefault="00F54FE2" w:rsidP="00573B6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Powyższe kryteria kwalifikacji muszą być spełnione łącznie.</w:t>
            </w:r>
          </w:p>
          <w:p w14:paraId="32DDB625" w14:textId="77777777" w:rsidR="00F54FE2" w:rsidRPr="00573B60" w:rsidRDefault="00F54FE2" w:rsidP="00573B6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EA16D53" w14:textId="77777777" w:rsidR="00F54FE2" w:rsidRPr="00573B60" w:rsidRDefault="00F54FE2" w:rsidP="00573B6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Ponadto do programu lekowego kwalifikowani są również pacjenci wymagający kontynuacji leczenia, którzy byli leczeni dotychczas w ramach innego sposobu finansowania terapii, za wyjątkiem trwających badań klinicznych, pod warunkiem, że w chwili rozpoczęcia leczenia spełniali kryteria kwalifikacji do programu lekowego.</w:t>
            </w:r>
          </w:p>
          <w:p w14:paraId="11EBF8B9" w14:textId="77777777" w:rsidR="00F54FE2" w:rsidRPr="00573B60" w:rsidRDefault="00F54FE2" w:rsidP="00573B6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4B19685" w14:textId="43834E8E" w:rsidR="00F54FE2" w:rsidRPr="00573B60" w:rsidRDefault="00F54FE2" w:rsidP="00573B60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Określenie czasu leczenia w programie </w:t>
            </w:r>
          </w:p>
          <w:p w14:paraId="4BE82077" w14:textId="77777777" w:rsidR="00F54FE2" w:rsidRPr="00573B60" w:rsidRDefault="00F54FE2" w:rsidP="00573B6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Leczenie należy kontynuować do momentu podjęcia przez lekarza decyzji o wyłączeniu pacjenta z programu zgodnie z kryteriami wyłączenia.</w:t>
            </w:r>
          </w:p>
          <w:p w14:paraId="23325F42" w14:textId="77777777" w:rsidR="00F54FE2" w:rsidRPr="00573B60" w:rsidRDefault="00F54FE2" w:rsidP="00573B6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E7D1B46" w14:textId="45907A24" w:rsidR="00F54FE2" w:rsidRPr="00573B60" w:rsidRDefault="00F54FE2" w:rsidP="00573B60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Kryteria wyłączenia z programu</w:t>
            </w:r>
          </w:p>
          <w:p w14:paraId="008C4465" w14:textId="1A89EE67" w:rsidR="00F54FE2" w:rsidRPr="00573B60" w:rsidRDefault="00F54FE2" w:rsidP="00573B60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brak adekwatnej odpowiedzi ocenianej </w:t>
            </w:r>
            <w:r w:rsidR="009266BF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 pierwszych 4 miesiącach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leczenia </w:t>
            </w:r>
            <w:proofErr w:type="spellStart"/>
            <w:r w:rsidRPr="00573B6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kan</w:t>
            </w:r>
            <w:r w:rsidR="007C70A3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</w:t>
            </w:r>
            <w:r w:rsidRPr="00573B6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abidiolem</w:t>
            </w:r>
            <w:proofErr w:type="spellEnd"/>
            <w:r w:rsidR="00573B60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,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rozumianej jako nieuzyskanie co najmniej 30% redukcji </w:t>
            </w:r>
            <w:r w:rsidR="009266BF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miesięcznej 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liczby napadów w </w:t>
            </w:r>
            <w:r w:rsidR="009266BF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 miesiącu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leczenia </w:t>
            </w:r>
            <w:proofErr w:type="spellStart"/>
            <w:r w:rsidRPr="00573B6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kan</w:t>
            </w:r>
            <w:r w:rsidR="007C70A3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</w:t>
            </w:r>
            <w:r w:rsidRPr="00573B6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abidiolem</w:t>
            </w:r>
            <w:proofErr w:type="spellEnd"/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w programie lekowym w porównaniu ze średnią miesięczną z 6 miesięcy </w:t>
            </w:r>
            <w:r w:rsidR="009266BF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bezpośrednio </w:t>
            </w:r>
            <w:r w:rsidR="00D246FB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poprzedzających 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rozpoczęcie leczenia </w:t>
            </w:r>
            <w:proofErr w:type="spellStart"/>
            <w:r w:rsidRPr="00573B6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</w:t>
            </w:r>
            <w:r w:rsidR="007C70A3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</w:t>
            </w:r>
            <w:r w:rsidRPr="00573B6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nabidiolem</w:t>
            </w:r>
            <w:proofErr w:type="spellEnd"/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w programie lekowym; </w:t>
            </w:r>
          </w:p>
          <w:p w14:paraId="44811532" w14:textId="0D739C4D" w:rsidR="009266BF" w:rsidRPr="00573B60" w:rsidRDefault="009266BF" w:rsidP="00573B60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brak adekwatnej odpowiedzi ocenianej po każdych kolejnych 3 miesiącach leczenia </w:t>
            </w:r>
            <w:proofErr w:type="spellStart"/>
            <w:r w:rsidRPr="00573B6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kan</w:t>
            </w:r>
            <w:r w:rsidR="007C70A3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</w:t>
            </w:r>
            <w:r w:rsidRPr="00573B6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abidiolem</w:t>
            </w:r>
            <w:proofErr w:type="spellEnd"/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rozumianej jako 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 xml:space="preserve">nieuzyskanie co najmniej 30% redukcji miesięcznej liczby napadów w okresie ostatnich 3 miesięcy leczenia </w:t>
            </w:r>
            <w:proofErr w:type="spellStart"/>
            <w:r w:rsidRPr="00573B6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</w:t>
            </w:r>
            <w:r w:rsidR="007C70A3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</w:t>
            </w:r>
            <w:r w:rsidRPr="00573B6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nabidiolem</w:t>
            </w:r>
            <w:proofErr w:type="spellEnd"/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w programie lekowym w porównaniu ze średnią miesięczną z 6 miesięcy bezpośrednio </w:t>
            </w:r>
            <w:r w:rsidR="00D246FB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poprzedzających 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rozpoczęcie leczenia </w:t>
            </w:r>
            <w:proofErr w:type="spellStart"/>
            <w:r w:rsidRPr="00573B6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kan</w:t>
            </w:r>
            <w:r w:rsidR="007C70A3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</w:t>
            </w:r>
            <w:r w:rsidRPr="00573B6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abidiolem</w:t>
            </w:r>
            <w:proofErr w:type="spellEnd"/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w programie lekowym;</w:t>
            </w:r>
          </w:p>
          <w:p w14:paraId="202882C0" w14:textId="5DE7DF6A" w:rsidR="00F54FE2" w:rsidRPr="00573B60" w:rsidRDefault="00F54FE2" w:rsidP="00573B60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niekorzystny </w:t>
            </w:r>
            <w:r w:rsidR="00D246FB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stosunek 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korzyści do ryzyka;</w:t>
            </w:r>
          </w:p>
          <w:p w14:paraId="4D2CD219" w14:textId="0EAFA448" w:rsidR="00F54FE2" w:rsidRPr="00573B60" w:rsidRDefault="00F54FE2" w:rsidP="00573B60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bookmarkStart w:id="1" w:name="_Hlk133476700"/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dodanie nowego leku do schematu leczenia przeciwpadaczkowego w przypadku braku adekwatnej odpowiedzi zgodnie z punktem 3.1</w:t>
            </w:r>
            <w:r w:rsidR="00DC663C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 lub 3.2.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(nie dotyczy leków stosowanych krótkotrwale do przerywania napadu);</w:t>
            </w:r>
          </w:p>
          <w:bookmarkEnd w:id="1"/>
          <w:p w14:paraId="1313411F" w14:textId="33A69B35" w:rsidR="00CE1E17" w:rsidRPr="00573B60" w:rsidRDefault="00CE1E17" w:rsidP="00573B60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zakończeni</w:t>
            </w:r>
            <w:r w:rsidR="003F0FE2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stosowania </w:t>
            </w:r>
            <w:r w:rsidRPr="00573B6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klobazamu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4B84DFF6" w14:textId="10972FD9" w:rsidR="00F54FE2" w:rsidRPr="00573B60" w:rsidRDefault="00F54FE2" w:rsidP="00573B60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ciąża, z wyjątkiem sytuacji, gdy potencjalne korzyści dla matki wyraźnie przewyższają ryzyko dla płodu; </w:t>
            </w:r>
          </w:p>
          <w:p w14:paraId="4390BE7A" w14:textId="3C4F7179" w:rsidR="00F54FE2" w:rsidRPr="00573B60" w:rsidRDefault="00F54FE2" w:rsidP="00573B60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wystąpienie chorób lub stanów, które w opinii lekarza prowadzącego uniemożliwiają dalsze prowadzenie leczenia;</w:t>
            </w:r>
          </w:p>
          <w:p w14:paraId="22E82D8E" w14:textId="3A28590F" w:rsidR="00F54FE2" w:rsidRPr="00573B60" w:rsidRDefault="00F54FE2" w:rsidP="00573B60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wystąpienie działań niepożądanych uniemożliwiających</w:t>
            </w:r>
            <w:r w:rsidR="00226F85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kontynuację leczenia zgodnie z decyzją lekarza;</w:t>
            </w:r>
          </w:p>
          <w:p w14:paraId="40287541" w14:textId="42668CDC" w:rsidR="00F54FE2" w:rsidRPr="00573B60" w:rsidRDefault="00F54FE2" w:rsidP="00573B60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wystąpienie nadwrażliwości na lek lub substancję pomocniczą uniemożliwiające kontynuację leczenia;</w:t>
            </w:r>
          </w:p>
          <w:p w14:paraId="6B272231" w14:textId="0C2CB332" w:rsidR="00F54FE2" w:rsidRPr="00573B60" w:rsidRDefault="00F54FE2" w:rsidP="00573B60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wystąpienie zagrażającej życiu albo nieakceptowalnej toksyczności pomimo zastosowania adekwatnego postępowania;</w:t>
            </w:r>
          </w:p>
          <w:p w14:paraId="0FDDB036" w14:textId="77777777" w:rsidR="00F54FE2" w:rsidRPr="00573B60" w:rsidRDefault="00F54FE2" w:rsidP="00573B60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brak współpracy lub nieprzestrzeganie zaleceń lekarskich ze strony świadczeniobiorcy lub jego prawnych opiekunów, w tym brak prowadzenia dzienniczka napadów padaczkowych lub dotyczących okresowych badań kontrolnych oceniających skuteczność i bezpieczeństwo leczenia.</w:t>
            </w:r>
          </w:p>
          <w:p w14:paraId="57579B00" w14:textId="6EA152AE" w:rsidR="00573B60" w:rsidRPr="00573B60" w:rsidRDefault="00573B60" w:rsidP="00573B6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111" w:type="dxa"/>
          </w:tcPr>
          <w:p w14:paraId="56E229BD" w14:textId="683D0E4D" w:rsidR="00F54FE2" w:rsidRPr="00573B60" w:rsidRDefault="00FD6598" w:rsidP="00573B60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Dawkowanie</w:t>
            </w:r>
          </w:p>
          <w:p w14:paraId="3D68103A" w14:textId="3770135F" w:rsidR="00F54FE2" w:rsidRPr="00573B60" w:rsidRDefault="00F54FE2" w:rsidP="00573B6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Sposób podawania oraz ewentualne czasowe wstrzymania leczenia, prowadzone zgodnie z aktualną Charakterystykami Produktu Leczniczego (ChPL).</w:t>
            </w:r>
          </w:p>
          <w:p w14:paraId="1D48C23C" w14:textId="3F40F2F2" w:rsidR="00F54FE2" w:rsidRPr="00573B60" w:rsidRDefault="008F3F7F" w:rsidP="00573B6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  <w:t>Kan</w:t>
            </w:r>
            <w:r w:rsidR="007C70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  <w:t>n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  <w:t>abidiol</w:t>
            </w:r>
            <w:proofErr w:type="spellEnd"/>
            <w:r w:rsidR="00F54FE2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jest wskazany do stosowania w leczeniu napadów padaczkowych związanych z zespołem Lennoxa-Gastauta (LGS) lub z zespołem Dravet (DS) jako lek wspomagający w skojarzeniu z </w:t>
            </w:r>
            <w:r w:rsidR="00F54FE2" w:rsidRPr="00573B6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klobazamem</w:t>
            </w:r>
            <w:r w:rsidR="00F54FE2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20A6CAED" w14:textId="5AA3D1FF" w:rsidR="00F54FE2" w:rsidRPr="00573B60" w:rsidRDefault="00F54FE2" w:rsidP="00573B6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Maksymalna dawka</w:t>
            </w:r>
            <w:r w:rsidR="007C70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="007C70A3" w:rsidRPr="007C70A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  <w:t>kannabidiolu</w:t>
            </w:r>
            <w:proofErr w:type="spellEnd"/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to 10 mg/kg mc. </w:t>
            </w:r>
            <w:r w:rsidR="006C0E6D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podawana 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2 x dobę (20 mg/kg mc./dobę). </w:t>
            </w:r>
          </w:p>
        </w:tc>
        <w:tc>
          <w:tcPr>
            <w:tcW w:w="5612" w:type="dxa"/>
          </w:tcPr>
          <w:p w14:paraId="5296835C" w14:textId="4F761235" w:rsidR="00F54FE2" w:rsidRPr="00573B60" w:rsidRDefault="00F54FE2" w:rsidP="00573B60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Badania przy kwalifikacji do leczenia </w:t>
            </w:r>
          </w:p>
          <w:p w14:paraId="733A4C17" w14:textId="1F59CC5F" w:rsidR="00F54FE2" w:rsidRPr="00573B60" w:rsidRDefault="00F54FE2" w:rsidP="00573B60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oznaczenie stężenia aminotransferazy alaninowej;</w:t>
            </w:r>
          </w:p>
          <w:p w14:paraId="1E860F3C" w14:textId="1EA3F17C" w:rsidR="00F54FE2" w:rsidRPr="00573B60" w:rsidRDefault="00F54FE2" w:rsidP="00573B60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oznaczenie stężenia aminotransferazy asparaginianowej;</w:t>
            </w:r>
          </w:p>
          <w:p w14:paraId="18033476" w14:textId="232A126F" w:rsidR="00F54FE2" w:rsidRPr="00573B60" w:rsidRDefault="00F54FE2" w:rsidP="00573B60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oznaczenie stężenia bilirubiny całkowitej</w:t>
            </w:r>
            <w:r w:rsidR="00226F85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70D7B26C" w14:textId="25774ADB" w:rsidR="006722C8" w:rsidRPr="00573B60" w:rsidRDefault="006722C8" w:rsidP="00573B6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Warunkiem kwalifikacji do programu jest posiadanie dokumentacji medycznej na podstawie, której postawiono kliniczne rozpoznanie zespołu Lennoxa-Gast</w:t>
            </w:r>
            <w:r w:rsidR="004860F1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uta lub zespołu Dravet wraz z historią wcześniejszego leczenia przeciwpadaczkowego i dzienniczkiem napadów padaczkowych z okresu co najmniej 6 miesięcy, na podstawie którego ustala się średnią miesięczną liczbę napadów w okresie ostatnich 6 miesięcy.</w:t>
            </w:r>
          </w:p>
          <w:p w14:paraId="4E00472B" w14:textId="77777777" w:rsidR="00F54FE2" w:rsidRPr="00573B60" w:rsidRDefault="00F54FE2" w:rsidP="00573B6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BB70E37" w14:textId="3DBA18BD" w:rsidR="00F54FE2" w:rsidRPr="00573B60" w:rsidRDefault="00F54FE2" w:rsidP="00573B60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Monitorowanie leczenia </w:t>
            </w:r>
          </w:p>
          <w:p w14:paraId="38A94CC4" w14:textId="77777777" w:rsidR="00F54FE2" w:rsidRPr="00573B60" w:rsidRDefault="00F54FE2" w:rsidP="00573B60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 ramach monitorowania leczenia pacjent prowadzi odpowiedni dzienniczek. Zakres minimalnych wymaganych do oceny parametrów:</w:t>
            </w:r>
          </w:p>
          <w:p w14:paraId="51F2CD8C" w14:textId="7C137EDD" w:rsidR="00F54FE2" w:rsidRPr="00573B60" w:rsidRDefault="00F54FE2" w:rsidP="00573B60">
            <w:pPr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liczba napadów padaczkowych w miesiącu</w:t>
            </w:r>
            <w:r w:rsidR="00226F85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6AC46599" w14:textId="77777777" w:rsidR="00F54FE2" w:rsidRPr="00573B60" w:rsidRDefault="00F54FE2" w:rsidP="00573B60">
            <w:pPr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liczba dni bez napadów;</w:t>
            </w:r>
          </w:p>
          <w:p w14:paraId="0B7A9473" w14:textId="77777777" w:rsidR="00F54FE2" w:rsidRPr="00573B60" w:rsidRDefault="00F54FE2" w:rsidP="00573B60">
            <w:pPr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najdłuższy czas trwania napadu;</w:t>
            </w:r>
          </w:p>
          <w:p w14:paraId="789DA89C" w14:textId="0DC94004" w:rsidR="00F54FE2" w:rsidRPr="00573B60" w:rsidRDefault="0000561C" w:rsidP="00573B60">
            <w:pPr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semiologia</w:t>
            </w:r>
            <w:r w:rsidR="00F54FE2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napadu;</w:t>
            </w:r>
          </w:p>
          <w:p w14:paraId="535A68A6" w14:textId="690A9F7A" w:rsidR="00F54FE2" w:rsidRPr="00573B60" w:rsidRDefault="00F54FE2" w:rsidP="00573B60">
            <w:pPr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nazwa, liczba i dawki przyjmowanych leków przerywających napad</w:t>
            </w:r>
            <w:r w:rsidR="00226F85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4E6D8B6F" w14:textId="77777777" w:rsidR="00F54FE2" w:rsidRPr="00573B60" w:rsidRDefault="00F54FE2" w:rsidP="00573B6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B8B0713" w14:textId="39B50F19" w:rsidR="00F54FE2" w:rsidRPr="00573B60" w:rsidRDefault="00F54FE2" w:rsidP="00573B60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Po 1 miesiącu, po 3 </w:t>
            </w:r>
            <w:r w:rsidR="00384F54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– 4 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miesiącach i po 6 </w:t>
            </w:r>
            <w:r w:rsidR="00384F54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– 7 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miesiącach od pierwszego podania </w:t>
            </w:r>
            <w:proofErr w:type="spellStart"/>
            <w:r w:rsidRPr="00573B6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</w:t>
            </w:r>
            <w:r w:rsidR="007C70A3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</w:t>
            </w:r>
            <w:r w:rsidRPr="00573B6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nabidiolu</w:t>
            </w:r>
            <w:proofErr w:type="spellEnd"/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należy wykonać:</w:t>
            </w:r>
          </w:p>
          <w:p w14:paraId="7F9B575D" w14:textId="5EE67F6D" w:rsidR="00F54FE2" w:rsidRPr="00573B60" w:rsidRDefault="00F54FE2" w:rsidP="00573B60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oznaczenie stężenia aminotransferazy alaninowej;</w:t>
            </w:r>
          </w:p>
          <w:p w14:paraId="05738778" w14:textId="0898DDC6" w:rsidR="00F54FE2" w:rsidRPr="00573B60" w:rsidRDefault="00F54FE2" w:rsidP="00573B60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oznaczenie stężenia aminotransferazy asparaginianowej;</w:t>
            </w:r>
          </w:p>
          <w:p w14:paraId="3C20C3A9" w14:textId="2C20FEB5" w:rsidR="00F54FE2" w:rsidRPr="00573B60" w:rsidRDefault="00F54FE2" w:rsidP="00573B60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oznaczenie stężenia bilirubiny całkowitej</w:t>
            </w:r>
            <w:r w:rsidR="00226F85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4FFF05A8" w14:textId="77777777" w:rsidR="00F54FE2" w:rsidRPr="00573B60" w:rsidRDefault="00F54FE2" w:rsidP="00573B6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588E104" w14:textId="10A4A9B2" w:rsidR="00F54FE2" w:rsidRPr="00573B60" w:rsidRDefault="00F54FE2" w:rsidP="00573B60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Po </w:t>
            </w:r>
            <w:r w:rsidR="00384F54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miesiącach od pierwszego podania </w:t>
            </w:r>
            <w:proofErr w:type="spellStart"/>
            <w:r w:rsidRPr="00573B6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</w:t>
            </w:r>
            <w:r w:rsidR="007C70A3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</w:t>
            </w:r>
            <w:r w:rsidRPr="00573B6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nabidiolu</w:t>
            </w:r>
            <w:proofErr w:type="spellEnd"/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należy dokonać oceny </w:t>
            </w:r>
            <w:r w:rsidR="005B309C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skuteczności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leczenia na podstawie prowadzonego dzienniczka napadów padaczkowych</w:t>
            </w:r>
            <w:r w:rsidR="005B309C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w oparciu o niżej wskazane wskaźniki efektywności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6F2D07E7" w14:textId="5F3F8488" w:rsidR="00F54FE2" w:rsidRPr="00573B60" w:rsidRDefault="00F54FE2" w:rsidP="00573B60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  <w:t>Wskaźniki efektywności:</w:t>
            </w:r>
          </w:p>
          <w:p w14:paraId="2D9524A0" w14:textId="7210FC1C" w:rsidR="00F54FE2" w:rsidRPr="00573B60" w:rsidRDefault="00F54FE2" w:rsidP="00573B60">
            <w:pPr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procentowa zmiana miesięcznej liczby napadów padaczkowych z ostatnich </w:t>
            </w:r>
            <w:r w:rsidR="001502E1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miesięcy leczenia [%] w porównaniu z miesięczną liczbą napadów z okresu 6 miesięcy przed rozpoczęciem leczenia </w:t>
            </w:r>
            <w:proofErr w:type="spellStart"/>
            <w:r w:rsidRPr="00573B6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</w:t>
            </w:r>
            <w:r w:rsidR="007C70A3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</w:t>
            </w:r>
            <w:r w:rsidRPr="00573B6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nabidiolem</w:t>
            </w:r>
            <w:proofErr w:type="spellEnd"/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4DAAE3C4" w14:textId="77777777" w:rsidR="00F54FE2" w:rsidRPr="00573B60" w:rsidRDefault="00F54FE2" w:rsidP="00573B60">
            <w:pPr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liczba dni bez napadów;</w:t>
            </w:r>
          </w:p>
          <w:p w14:paraId="2FF0C7A5" w14:textId="77777777" w:rsidR="00F54FE2" w:rsidRPr="00573B60" w:rsidRDefault="00F54FE2" w:rsidP="00573B60">
            <w:pPr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poprawa stanu klinicznego pacjenta w ocenie lekarza;</w:t>
            </w:r>
          </w:p>
          <w:p w14:paraId="4327DEEE" w14:textId="77777777" w:rsidR="00F54FE2" w:rsidRPr="00573B60" w:rsidRDefault="00F54FE2" w:rsidP="00573B60">
            <w:pPr>
              <w:numPr>
                <w:ilvl w:val="4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działania niepożądane.</w:t>
            </w:r>
          </w:p>
          <w:p w14:paraId="6BA03011" w14:textId="77777777" w:rsidR="00F54FE2" w:rsidRPr="00573B60" w:rsidRDefault="00F54FE2" w:rsidP="00573B6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C4F6991" w14:textId="77777777" w:rsidR="00384F54" w:rsidRPr="00573B60" w:rsidRDefault="00F54FE2" w:rsidP="00573B6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Jeżeli terapia jest kontynuowana</w:t>
            </w:r>
            <w:r w:rsidR="00384F54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</w:p>
          <w:p w14:paraId="44EDABC1" w14:textId="4EA09E68" w:rsidR="00384F54" w:rsidRPr="00573B60" w:rsidRDefault="00F54FE2" w:rsidP="00573B60">
            <w:pPr>
              <w:pStyle w:val="Akapitzlist"/>
              <w:numPr>
                <w:ilvl w:val="5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powyższe badania laboratoryjne </w:t>
            </w:r>
            <w:r w:rsidR="00384F54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należy powtarzać co 3 - 6 miesięcy</w:t>
            </w:r>
            <w:r w:rsidR="00226F85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7B60F3AF" w14:textId="5ECC30E8" w:rsidR="00F54FE2" w:rsidRPr="00573B60" w:rsidRDefault="00F54FE2" w:rsidP="00573B60">
            <w:pPr>
              <w:pStyle w:val="Akapitzlist"/>
              <w:numPr>
                <w:ilvl w:val="5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ocenę skuteczności klinicznej należy powtarzać co </w:t>
            </w:r>
            <w:r w:rsidR="00384F54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miesi</w:t>
            </w:r>
            <w:r w:rsidR="00384F54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ące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517175FC" w14:textId="77777777" w:rsidR="00F54FE2" w:rsidRPr="00573B60" w:rsidRDefault="00F54FE2" w:rsidP="00573B6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8C836AB" w14:textId="180EDE52" w:rsidR="00F54FE2" w:rsidRPr="00573B60" w:rsidRDefault="00F54FE2" w:rsidP="00573B6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 xml:space="preserve">W przypadku zmiany dawki </w:t>
            </w:r>
            <w:proofErr w:type="spellStart"/>
            <w:r w:rsidRPr="00573B6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ka</w:t>
            </w:r>
            <w:r w:rsidR="007C70A3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</w:t>
            </w:r>
            <w:r w:rsidRPr="00573B6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nabidiolu</w:t>
            </w:r>
            <w:proofErr w:type="spellEnd"/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powyżej 10 mg/kg mc./dobę należy wznowić pierwotny harmonogram badań kontrolnych</w:t>
            </w:r>
            <w:r w:rsidR="00D246FB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,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tj. po 1 miesiącu, po 3</w:t>
            </w:r>
            <w:r w:rsidR="00384F54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-4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miesiącach i po 6</w:t>
            </w:r>
            <w:r w:rsidR="00384F54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-7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miesiącach od momentu </w:t>
            </w:r>
            <w:r w:rsidR="00D246FB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rozpoczęcia 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dawkowania powyżej 10 mg/kg mc./dobę </w:t>
            </w:r>
            <w:r w:rsidR="00D246FB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- 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należy wykonać:</w:t>
            </w:r>
          </w:p>
          <w:p w14:paraId="03E5E3BD" w14:textId="7052DBD6" w:rsidR="00F54FE2" w:rsidRPr="00573B60" w:rsidRDefault="00F54FE2" w:rsidP="00573B60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oznaczenie stężenia aminotransferazy alaninowej;</w:t>
            </w:r>
          </w:p>
          <w:p w14:paraId="255E842E" w14:textId="4A97B398" w:rsidR="00F54FE2" w:rsidRPr="00573B60" w:rsidRDefault="00F54FE2" w:rsidP="00573B60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oznaczenie stężenia aminotransferazy asparaginianowej;</w:t>
            </w:r>
          </w:p>
          <w:p w14:paraId="5849A959" w14:textId="07F79B32" w:rsidR="00384F54" w:rsidRPr="00573B60" w:rsidRDefault="00F54FE2" w:rsidP="00573B60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oznaczenie stężenia bilirubiny całkowitej</w:t>
            </w:r>
            <w:r w:rsidR="00226F85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  <w:p w14:paraId="222920F5" w14:textId="77777777" w:rsidR="00384F54" w:rsidRPr="00573B60" w:rsidRDefault="00384F54" w:rsidP="00573B60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0A77858" w14:textId="49BA4C12" w:rsidR="00F54FE2" w:rsidRPr="00573B60" w:rsidRDefault="00F54FE2" w:rsidP="00573B60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Monitorowanie programu</w:t>
            </w:r>
          </w:p>
          <w:p w14:paraId="7E1CE241" w14:textId="77777777" w:rsidR="00383B71" w:rsidRPr="00573B60" w:rsidRDefault="00383B71" w:rsidP="00573B60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gromadzenie w dokumentacji medycznej danych dotyczących monitorowania leczenia i każdorazowe ich przedstawianie na żądanie kontrolerów Narodowego Funduszu Zdrowia (NFZ);</w:t>
            </w:r>
          </w:p>
          <w:p w14:paraId="3520C862" w14:textId="1E852E6E" w:rsidR="00383B71" w:rsidRPr="00573B60" w:rsidRDefault="00383B71" w:rsidP="00573B60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uzupełnienie danych zawartych w elektronicznym systemie monitorowania programów lekowych dostępnym za pomocą aplikacji internetowej udostępnionej przez Oddział Wojewódzki NFZ z częstotliwością zgodną z opisem programu oraz na zakończenie leczenia, w tym przekazywanie danych dotyczących wskaźników efektywności terapii zawartych w punkcie 2</w:t>
            </w:r>
            <w:r w:rsidR="00573B60"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.3.</w:t>
            </w: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;</w:t>
            </w:r>
          </w:p>
          <w:p w14:paraId="0D1412F8" w14:textId="539FB537" w:rsidR="00F54FE2" w:rsidRPr="00573B60" w:rsidRDefault="00383B71" w:rsidP="00573B60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73B6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przekazywanie informacji sprawozdawczo-rozliczeniowych do NFZ (informacje przekazuje się do NFZ w formie papierowej lub w formie elektronicznej zgodnie z wymaganiami opublikowanymi przez NFZ).</w:t>
            </w:r>
          </w:p>
        </w:tc>
      </w:tr>
      <w:bookmarkEnd w:id="0"/>
    </w:tbl>
    <w:p w14:paraId="2E2960D3" w14:textId="77777777" w:rsidR="00532EA3" w:rsidRPr="00573B60" w:rsidRDefault="00532EA3" w:rsidP="008A7761">
      <w:pPr>
        <w:rPr>
          <w:rFonts w:ascii="Times New Roman" w:hAnsi="Times New Roman" w:cs="Times New Roman"/>
        </w:rPr>
      </w:pPr>
    </w:p>
    <w:sectPr w:rsidR="00532EA3" w:rsidRPr="00573B60" w:rsidSect="00494935">
      <w:headerReference w:type="first" r:id="rId7"/>
      <w:footerReference w:type="first" r:id="rId8"/>
      <w:pgSz w:w="16838" w:h="11906" w:orient="landscape"/>
      <w:pgMar w:top="1588" w:right="720" w:bottom="141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E3733" w14:textId="77777777" w:rsidR="0071168B" w:rsidRDefault="0071168B">
      <w:pPr>
        <w:spacing w:after="0" w:line="240" w:lineRule="auto"/>
      </w:pPr>
      <w:r>
        <w:separator/>
      </w:r>
    </w:p>
  </w:endnote>
  <w:endnote w:type="continuationSeparator" w:id="0">
    <w:p w14:paraId="320632C1" w14:textId="77777777" w:rsidR="0071168B" w:rsidRDefault="00711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1C6CD" w14:textId="77777777" w:rsidR="00532EA3" w:rsidRDefault="004B106F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28D470A7" w14:textId="77777777" w:rsidR="00532EA3" w:rsidRDefault="00532E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C47AA" w14:textId="77777777" w:rsidR="0071168B" w:rsidRDefault="0071168B">
      <w:pPr>
        <w:spacing w:after="0" w:line="240" w:lineRule="auto"/>
      </w:pPr>
      <w:r>
        <w:separator/>
      </w:r>
    </w:p>
  </w:footnote>
  <w:footnote w:type="continuationSeparator" w:id="0">
    <w:p w14:paraId="11EA3961" w14:textId="77777777" w:rsidR="0071168B" w:rsidRDefault="007116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90615" w14:textId="77777777" w:rsidR="00532EA3" w:rsidRDefault="00532E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6465F2"/>
    <w:multiLevelType w:val="hybridMultilevel"/>
    <w:tmpl w:val="674A14D8"/>
    <w:lvl w:ilvl="0" w:tplc="1F50A0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05535"/>
    <w:multiLevelType w:val="hybridMultilevel"/>
    <w:tmpl w:val="A1E0958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BAB8B72E">
      <w:start w:val="1"/>
      <w:numFmt w:val="decimal"/>
      <w:suff w:val="space"/>
      <w:lvlText w:val="%2)"/>
      <w:lvlJc w:val="left"/>
      <w:pPr>
        <w:ind w:left="765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728C4"/>
    <w:multiLevelType w:val="multilevel"/>
    <w:tmpl w:val="73F03BC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z w:val="20"/>
        <w:szCs w:val="2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31FA0266"/>
    <w:multiLevelType w:val="multilevel"/>
    <w:tmpl w:val="81FC25B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32F23794"/>
    <w:multiLevelType w:val="multilevel"/>
    <w:tmpl w:val="73F03BC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z w:val="20"/>
        <w:szCs w:val="2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33800258"/>
    <w:multiLevelType w:val="multilevel"/>
    <w:tmpl w:val="73F03BC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z w:val="20"/>
        <w:szCs w:val="2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41DB3A08"/>
    <w:multiLevelType w:val="multilevel"/>
    <w:tmpl w:val="73F03BC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z w:val="20"/>
        <w:szCs w:val="2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43056021"/>
    <w:multiLevelType w:val="hybridMultilevel"/>
    <w:tmpl w:val="39A0F8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2E2A4D"/>
    <w:multiLevelType w:val="hybridMultilevel"/>
    <w:tmpl w:val="37FE6EDA"/>
    <w:lvl w:ilvl="0" w:tplc="FFFFFFFF">
      <w:start w:val="1"/>
      <w:numFmt w:val="decimal"/>
      <w:suff w:val="space"/>
      <w:lvlText w:val="%1)"/>
      <w:lvlJc w:val="left"/>
      <w:pPr>
        <w:ind w:left="7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3729E5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4F3C027E"/>
    <w:multiLevelType w:val="hybridMultilevel"/>
    <w:tmpl w:val="C9729D3A"/>
    <w:lvl w:ilvl="0" w:tplc="FFFFFFFF">
      <w:start w:val="1"/>
      <w:numFmt w:val="decimal"/>
      <w:suff w:val="space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 w15:restartNumberingAfterBreak="0">
    <w:nsid w:val="51A15519"/>
    <w:multiLevelType w:val="hybridMultilevel"/>
    <w:tmpl w:val="E3AE0AF4"/>
    <w:lvl w:ilvl="0" w:tplc="8A3830D0">
      <w:start w:val="1"/>
      <w:numFmt w:val="decimal"/>
      <w:suff w:val="space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15" w:hanging="360"/>
      </w:pPr>
    </w:lvl>
    <w:lvl w:ilvl="2" w:tplc="0415001B" w:tentative="1">
      <w:start w:val="1"/>
      <w:numFmt w:val="lowerRoman"/>
      <w:lvlText w:val="%3."/>
      <w:lvlJc w:val="right"/>
      <w:pPr>
        <w:ind w:left="2835" w:hanging="180"/>
      </w:pPr>
    </w:lvl>
    <w:lvl w:ilvl="3" w:tplc="0415000F" w:tentative="1">
      <w:start w:val="1"/>
      <w:numFmt w:val="decimal"/>
      <w:lvlText w:val="%4."/>
      <w:lvlJc w:val="left"/>
      <w:pPr>
        <w:ind w:left="3555" w:hanging="360"/>
      </w:pPr>
    </w:lvl>
    <w:lvl w:ilvl="4" w:tplc="04150019" w:tentative="1">
      <w:start w:val="1"/>
      <w:numFmt w:val="lowerLetter"/>
      <w:lvlText w:val="%5."/>
      <w:lvlJc w:val="left"/>
      <w:pPr>
        <w:ind w:left="4275" w:hanging="360"/>
      </w:pPr>
    </w:lvl>
    <w:lvl w:ilvl="5" w:tplc="0415001B" w:tentative="1">
      <w:start w:val="1"/>
      <w:numFmt w:val="lowerRoman"/>
      <w:lvlText w:val="%6."/>
      <w:lvlJc w:val="right"/>
      <w:pPr>
        <w:ind w:left="4995" w:hanging="180"/>
      </w:pPr>
    </w:lvl>
    <w:lvl w:ilvl="6" w:tplc="0415000F" w:tentative="1">
      <w:start w:val="1"/>
      <w:numFmt w:val="decimal"/>
      <w:lvlText w:val="%7."/>
      <w:lvlJc w:val="left"/>
      <w:pPr>
        <w:ind w:left="5715" w:hanging="360"/>
      </w:pPr>
    </w:lvl>
    <w:lvl w:ilvl="7" w:tplc="04150019" w:tentative="1">
      <w:start w:val="1"/>
      <w:numFmt w:val="lowerLetter"/>
      <w:lvlText w:val="%8."/>
      <w:lvlJc w:val="left"/>
      <w:pPr>
        <w:ind w:left="6435" w:hanging="360"/>
      </w:pPr>
    </w:lvl>
    <w:lvl w:ilvl="8" w:tplc="041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2" w15:restartNumberingAfterBreak="0">
    <w:nsid w:val="55AE28FD"/>
    <w:multiLevelType w:val="hybridMultilevel"/>
    <w:tmpl w:val="3D82F98E"/>
    <w:lvl w:ilvl="0" w:tplc="BAB8B72E">
      <w:start w:val="1"/>
      <w:numFmt w:val="decimal"/>
      <w:suff w:val="space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B632E5"/>
    <w:multiLevelType w:val="hybridMultilevel"/>
    <w:tmpl w:val="DEECB6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A3830D0">
      <w:start w:val="1"/>
      <w:numFmt w:val="decimal"/>
      <w:suff w:val="space"/>
      <w:lvlText w:val="%2)"/>
      <w:lvlJc w:val="left"/>
      <w:pPr>
        <w:ind w:left="76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2A6BE7"/>
    <w:multiLevelType w:val="hybridMultilevel"/>
    <w:tmpl w:val="9DCADF06"/>
    <w:lvl w:ilvl="0" w:tplc="7B748730">
      <w:start w:val="1"/>
      <w:numFmt w:val="lowerLetter"/>
      <w:suff w:val="space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FE3B4C"/>
    <w:multiLevelType w:val="hybridMultilevel"/>
    <w:tmpl w:val="37FE6EDA"/>
    <w:lvl w:ilvl="0" w:tplc="8A3830D0">
      <w:start w:val="1"/>
      <w:numFmt w:val="decimal"/>
      <w:suff w:val="space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C821E6"/>
    <w:multiLevelType w:val="hybridMultilevel"/>
    <w:tmpl w:val="9DCADF06"/>
    <w:lvl w:ilvl="0" w:tplc="FFFFFFFF">
      <w:start w:val="1"/>
      <w:numFmt w:val="lowerLetter"/>
      <w:suff w:val="space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565215"/>
    <w:multiLevelType w:val="hybridMultilevel"/>
    <w:tmpl w:val="9F7AA5C8"/>
    <w:lvl w:ilvl="0" w:tplc="78C6E332">
      <w:start w:val="1"/>
      <w:numFmt w:val="decimal"/>
      <w:suff w:val="space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862A9C8C">
      <w:start w:val="1"/>
      <w:numFmt w:val="decimal"/>
      <w:lvlText w:val="%2)"/>
      <w:lvlJc w:val="left"/>
      <w:pPr>
        <w:ind w:left="14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79D826CA"/>
    <w:multiLevelType w:val="hybridMultilevel"/>
    <w:tmpl w:val="C9729D3A"/>
    <w:lvl w:ilvl="0" w:tplc="FFFFFFFF">
      <w:start w:val="1"/>
      <w:numFmt w:val="decimal"/>
      <w:suff w:val="space"/>
      <w:lvlText w:val="%1."/>
      <w:lvlJc w:val="left"/>
      <w:pPr>
        <w:ind w:left="765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722338895">
    <w:abstractNumId w:val="14"/>
  </w:num>
  <w:num w:numId="2" w16cid:durableId="445929672">
    <w:abstractNumId w:val="0"/>
  </w:num>
  <w:num w:numId="3" w16cid:durableId="688532672">
    <w:abstractNumId w:val="17"/>
  </w:num>
  <w:num w:numId="4" w16cid:durableId="1042828633">
    <w:abstractNumId w:val="18"/>
  </w:num>
  <w:num w:numId="5" w16cid:durableId="1289816210">
    <w:abstractNumId w:val="10"/>
  </w:num>
  <w:num w:numId="6" w16cid:durableId="175465968">
    <w:abstractNumId w:val="13"/>
  </w:num>
  <w:num w:numId="7" w16cid:durableId="1995572533">
    <w:abstractNumId w:val="15"/>
  </w:num>
  <w:num w:numId="8" w16cid:durableId="284236963">
    <w:abstractNumId w:val="11"/>
  </w:num>
  <w:num w:numId="9" w16cid:durableId="1598248797">
    <w:abstractNumId w:val="7"/>
  </w:num>
  <w:num w:numId="10" w16cid:durableId="359547823">
    <w:abstractNumId w:val="1"/>
  </w:num>
  <w:num w:numId="11" w16cid:durableId="839462976">
    <w:abstractNumId w:val="16"/>
  </w:num>
  <w:num w:numId="12" w16cid:durableId="863175715">
    <w:abstractNumId w:val="12"/>
  </w:num>
  <w:num w:numId="13" w16cid:durableId="2106685599">
    <w:abstractNumId w:val="9"/>
  </w:num>
  <w:num w:numId="14" w16cid:durableId="2115241823">
    <w:abstractNumId w:val="8"/>
  </w:num>
  <w:num w:numId="15" w16cid:durableId="509031722">
    <w:abstractNumId w:val="6"/>
  </w:num>
  <w:num w:numId="16" w16cid:durableId="88887896">
    <w:abstractNumId w:val="3"/>
  </w:num>
  <w:num w:numId="17" w16cid:durableId="107968097">
    <w:abstractNumId w:val="5"/>
  </w:num>
  <w:num w:numId="18" w16cid:durableId="842745929">
    <w:abstractNumId w:val="2"/>
  </w:num>
  <w:num w:numId="19" w16cid:durableId="14942257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FE2"/>
    <w:rsid w:val="0000561C"/>
    <w:rsid w:val="00006F70"/>
    <w:rsid w:val="00010F9D"/>
    <w:rsid w:val="000C5A2B"/>
    <w:rsid w:val="00135982"/>
    <w:rsid w:val="001502E1"/>
    <w:rsid w:val="001F0EBB"/>
    <w:rsid w:val="00223C77"/>
    <w:rsid w:val="00226F85"/>
    <w:rsid w:val="00236160"/>
    <w:rsid w:val="002C1A09"/>
    <w:rsid w:val="002F34CA"/>
    <w:rsid w:val="00335B6D"/>
    <w:rsid w:val="00383B71"/>
    <w:rsid w:val="00384F54"/>
    <w:rsid w:val="003F0FE2"/>
    <w:rsid w:val="003F22B7"/>
    <w:rsid w:val="004860F1"/>
    <w:rsid w:val="00494935"/>
    <w:rsid w:val="004A2DD1"/>
    <w:rsid w:val="004B106F"/>
    <w:rsid w:val="004B4541"/>
    <w:rsid w:val="004D291F"/>
    <w:rsid w:val="00532EA3"/>
    <w:rsid w:val="0054405B"/>
    <w:rsid w:val="00573B60"/>
    <w:rsid w:val="005B309C"/>
    <w:rsid w:val="005F72FD"/>
    <w:rsid w:val="006722C8"/>
    <w:rsid w:val="006A6F7E"/>
    <w:rsid w:val="006C0E6D"/>
    <w:rsid w:val="0071168B"/>
    <w:rsid w:val="0073533F"/>
    <w:rsid w:val="00772943"/>
    <w:rsid w:val="007C70A3"/>
    <w:rsid w:val="00826C22"/>
    <w:rsid w:val="008A7761"/>
    <w:rsid w:val="008F3F7F"/>
    <w:rsid w:val="009266BF"/>
    <w:rsid w:val="00927E86"/>
    <w:rsid w:val="009301A5"/>
    <w:rsid w:val="00982E28"/>
    <w:rsid w:val="00A63945"/>
    <w:rsid w:val="00AA5E03"/>
    <w:rsid w:val="00B066FD"/>
    <w:rsid w:val="00B46AE7"/>
    <w:rsid w:val="00BA7CA5"/>
    <w:rsid w:val="00C224E9"/>
    <w:rsid w:val="00CE1E17"/>
    <w:rsid w:val="00D246FB"/>
    <w:rsid w:val="00D67920"/>
    <w:rsid w:val="00D812C8"/>
    <w:rsid w:val="00DC663C"/>
    <w:rsid w:val="00F106A7"/>
    <w:rsid w:val="00F239E7"/>
    <w:rsid w:val="00F30E39"/>
    <w:rsid w:val="00F54FE2"/>
    <w:rsid w:val="00F77DA0"/>
    <w:rsid w:val="00FD6598"/>
    <w:rsid w:val="00FF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D9AD5"/>
  <w15:chartTrackingRefBased/>
  <w15:docId w15:val="{4168BA09-4CA8-4797-8818-AD95E3C21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4FE2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F54FE2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54FE2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F54FE2"/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aliases w:val="aotm_załączniki,Styl moj,Akapit z listą1,Akapit z listą11,List Paragraph1,Bullet1,Table Legend,BulletPoints,podpunkt ankietyy,5 - W tabeli,Dot pt,F5 List Paragraph,No Spacing1,List Paragraph Char Char Char,Indicator Text"/>
    <w:basedOn w:val="Normalny"/>
    <w:link w:val="AkapitzlistZnak"/>
    <w:uiPriority w:val="34"/>
    <w:qFormat/>
    <w:rsid w:val="008A7761"/>
    <w:pPr>
      <w:ind w:left="720"/>
      <w:contextualSpacing/>
    </w:pPr>
  </w:style>
  <w:style w:type="paragraph" w:styleId="Poprawka">
    <w:name w:val="Revision"/>
    <w:hidden/>
    <w:uiPriority w:val="99"/>
    <w:semiHidden/>
    <w:rsid w:val="006C0E6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C0E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C0E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C0E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0E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0E6D"/>
    <w:rPr>
      <w:b/>
      <w:bCs/>
      <w:sz w:val="20"/>
      <w:szCs w:val="20"/>
    </w:rPr>
  </w:style>
  <w:style w:type="character" w:customStyle="1" w:styleId="cf01">
    <w:name w:val="cf01"/>
    <w:basedOn w:val="Domylnaczcionkaakapitu"/>
    <w:rsid w:val="006722C8"/>
    <w:rPr>
      <w:rFonts w:ascii="Segoe UI" w:hAnsi="Segoe UI" w:cs="Segoe UI" w:hint="default"/>
      <w:sz w:val="18"/>
      <w:szCs w:val="18"/>
    </w:rPr>
  </w:style>
  <w:style w:type="character" w:customStyle="1" w:styleId="AkapitzlistZnak">
    <w:name w:val="Akapit z listą Znak"/>
    <w:aliases w:val="aotm_załączniki Znak,Styl moj Znak,Akapit z listą1 Znak,Akapit z listą11 Znak,List Paragraph1 Znak,Bullet1 Znak,Table Legend Znak,BulletPoints Znak,podpunkt ankietyy Znak,5 - W tabeli Znak,Dot pt Znak,F5 List Paragraph Znak"/>
    <w:link w:val="Akapitzlist"/>
    <w:uiPriority w:val="34"/>
    <w:qFormat/>
    <w:locked/>
    <w:rsid w:val="00573B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1047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Wilk Justyna</dc:creator>
  <cp:keywords/>
  <dc:description/>
  <cp:lastModifiedBy>Królak-Buzakowska Joanna</cp:lastModifiedBy>
  <cp:revision>3</cp:revision>
  <dcterms:created xsi:type="dcterms:W3CDTF">2023-12-06T12:02:00Z</dcterms:created>
  <dcterms:modified xsi:type="dcterms:W3CDTF">2023-12-07T17:29:00Z</dcterms:modified>
</cp:coreProperties>
</file>